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If I gave you a list of decimals, you might find it quite straightforward to put them in order of size. But what about ordering fractions?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A man called John Farey investigated sequences of fractions in order of size - they are called Farey Sequences.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third Farey Sequence, </w:t>
      </w:r>
      <w:r w:rsidDel="00000000" w:rsidR="00000000" w:rsidRPr="00000000">
        <w:rPr>
          <w:rFonts w:ascii="MathJax_Main" w:cs="MathJax_Main" w:eastAsia="MathJax_Main" w:hAnsi="MathJax_Main"/>
          <w:sz w:val="21"/>
          <w:szCs w:val="21"/>
          <w:highlight w:val="white"/>
        </w:rPr>
        <w:drawing>
          <wp:inline distB="114300" distT="114300" distL="114300" distR="114300">
            <wp:extent cx="217714" cy="190500"/>
            <wp:effectExtent b="0" l="0" r="0" t="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71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, looks like this: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2616038" cy="448464"/>
            <wp:effectExtent b="0" l="0" r="0" t="0"/>
            <wp:docPr id="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6038" cy="448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It lists in order all the fractions between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8"/>
          <w:szCs w:val="28"/>
          <w:highlight w:val="white"/>
          <w:vertAlign w:val="baseline"/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and 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8"/>
          <w:szCs w:val="28"/>
          <w:highlight w:val="white"/>
          <w:vertAlign w:val="baseline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, in their simplest forms, with denominators up to and including 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8"/>
          <w:szCs w:val="28"/>
          <w:highlight w:val="white"/>
          <w:vertAlign w:val="baseline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Here is </w:t>
      </w:r>
      <w:r w:rsidDel="00000000" w:rsidR="00000000" w:rsidRPr="00000000">
        <w:rPr>
          <w:rFonts w:ascii="MathJax_Math" w:cs="MathJax_Math" w:eastAsia="MathJax_Math" w:hAnsi="MathJax_Math"/>
          <w:i w:val="1"/>
          <w:sz w:val="30"/>
          <w:szCs w:val="30"/>
          <w:highlight w:val="white"/>
        </w:rPr>
        <w:drawing>
          <wp:inline distB="114300" distT="114300" distL="114300" distR="114300">
            <wp:extent cx="223630" cy="1905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63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</w:rPr>
        <w:drawing>
          <wp:inline distB="114300" distT="114300" distL="114300" distR="114300">
            <wp:extent cx="3793096" cy="476488"/>
            <wp:effectExtent b="0" l="0" r="0" t="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3096" cy="476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Write down </w:t>
      </w:r>
      <w:r w:rsidDel="00000000" w:rsidR="00000000" w:rsidRPr="00000000">
        <w:rPr>
          <w:rFonts w:ascii="MathJax_Math" w:cs="MathJax_Math" w:eastAsia="MathJax_Math" w:hAnsi="MathJax_Math"/>
          <w:i w:val="1"/>
          <w:sz w:val="30"/>
          <w:szCs w:val="30"/>
          <w:highlight w:val="white"/>
        </w:rPr>
        <w:drawing>
          <wp:inline distB="114300" distT="114300" distL="114300" distR="114300">
            <wp:extent cx="217714" cy="190500"/>
            <wp:effectExtent b="0" l="0" r="0" t="0"/>
            <wp:docPr id="1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71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Which extra fractions are in </w:t>
      </w:r>
      <w:r w:rsidDel="00000000" w:rsidR="00000000" w:rsidRPr="00000000">
        <w:rPr>
          <w:rFonts w:ascii="MathJax_Math" w:cs="MathJax_Math" w:eastAsia="MathJax_Math" w:hAnsi="MathJax_Math"/>
          <w:b w:val="1"/>
          <w:i w:val="1"/>
          <w:sz w:val="30"/>
          <w:szCs w:val="30"/>
          <w:highlight w:val="white"/>
        </w:rPr>
        <w:drawing>
          <wp:inline distB="114300" distT="114300" distL="114300" distR="114300">
            <wp:extent cx="217714" cy="190500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71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 which weren't in </w:t>
      </w:r>
      <w:r w:rsidDel="00000000" w:rsidR="00000000" w:rsidRPr="00000000">
        <w:rPr>
          <w:rFonts w:ascii="MathJax_Math" w:cs="MathJax_Math" w:eastAsia="MathJax_Math" w:hAnsi="MathJax_Math"/>
          <w:i w:val="1"/>
          <w:sz w:val="30"/>
          <w:szCs w:val="30"/>
          <w:highlight w:val="white"/>
        </w:rPr>
        <w:drawing>
          <wp:inline distB="114300" distT="114300" distL="114300" distR="114300">
            <wp:extent cx="223630" cy="19050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63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Which extra fractions will be in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 </w:t>
      </w:r>
      <w:r w:rsidDel="00000000" w:rsidR="00000000" w:rsidRPr="00000000">
        <w:rPr>
          <w:rFonts w:ascii="MathJax_Math" w:cs="MathJax_Math" w:eastAsia="MathJax_Math" w:hAnsi="MathJax_Math"/>
          <w:b w:val="1"/>
          <w:i w:val="1"/>
          <w:sz w:val="30"/>
          <w:szCs w:val="30"/>
          <w:highlight w:val="white"/>
        </w:rPr>
        <w:drawing>
          <wp:inline distB="114300" distT="114300" distL="114300" distR="114300">
            <wp:extent cx="217714" cy="190500"/>
            <wp:effectExtent b="0" l="0" r="0" t="0"/>
            <wp:docPr id="8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71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that weren’t in</w:t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MathJax_Math" w:cs="MathJax_Math" w:eastAsia="MathJax_Math" w:hAnsi="MathJax_Math"/>
          <w:b w:val="1"/>
          <w:i w:val="1"/>
          <w:sz w:val="30"/>
          <w:szCs w:val="30"/>
          <w:highlight w:val="white"/>
        </w:rPr>
        <w:drawing>
          <wp:inline distB="114300" distT="114300" distL="114300" distR="114300">
            <wp:extent cx="217714" cy="190500"/>
            <wp:effectExtent b="0" l="0" r="0" t="0"/>
            <wp:docPr id="1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71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?</w:t>
        <w:br w:type="textWrapping"/>
        <w:t xml:space="preserve">Where will they appear in the sequence?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There are lots of questions you could explore about Farey Sequences. Here are just a few that we thought of: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many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 extra fractions are there in </w:t>
      </w:r>
      <w:r w:rsidDel="00000000" w:rsidR="00000000" w:rsidRPr="00000000">
        <w:rPr>
          <w:rFonts w:ascii="MathJax_Math" w:cs="MathJax_Math" w:eastAsia="MathJax_Math" w:hAnsi="MathJax_Math"/>
          <w:i w:val="1"/>
          <w:sz w:val="30"/>
          <w:szCs w:val="30"/>
          <w:highlight w:val="white"/>
        </w:rPr>
        <w:drawing>
          <wp:inline distB="114300" distT="114300" distL="114300" distR="114300">
            <wp:extent cx="306457" cy="190500"/>
            <wp:effectExtent b="0" l="0" r="0" t="0"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457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that aren’t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 in </w:t>
      </w:r>
      <w:r w:rsidDel="00000000" w:rsidR="00000000" w:rsidRPr="00000000">
        <w:rPr>
          <w:rFonts w:ascii="MathJax_Math" w:cs="MathJax_Math" w:eastAsia="MathJax_Math" w:hAnsi="MathJax_Math"/>
          <w:i w:val="1"/>
          <w:sz w:val="30"/>
          <w:szCs w:val="30"/>
          <w:highlight w:val="white"/>
        </w:rPr>
        <w:drawing>
          <wp:inline distB="114300" distT="114300" distL="114300" distR="114300">
            <wp:extent cx="307521" cy="190500"/>
            <wp:effectExtent b="0" l="0" r="0" t="0"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521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many extra fractions are there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 in </w:t>
      </w:r>
      <w:r w:rsidDel="00000000" w:rsidR="00000000" w:rsidRPr="00000000">
        <w:rPr>
          <w:rFonts w:ascii="MathJax_Math" w:cs="MathJax_Math" w:eastAsia="MathJax_Math" w:hAnsi="MathJax_Math"/>
          <w:i w:val="1"/>
          <w:sz w:val="30"/>
          <w:szCs w:val="30"/>
          <w:highlight w:val="white"/>
        </w:rPr>
        <w:drawing>
          <wp:inline distB="114300" distT="114300" distL="114300" distR="114300">
            <wp:extent cx="311978" cy="190500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978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that aren’t in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MathJax_Math" w:cs="MathJax_Math" w:eastAsia="MathJax_Math" w:hAnsi="MathJax_Math"/>
          <w:i w:val="1"/>
          <w:sz w:val="30"/>
          <w:szCs w:val="30"/>
          <w:highlight w:val="white"/>
        </w:rPr>
        <w:drawing>
          <wp:inline distB="114300" distT="114300" distL="114300" distR="114300">
            <wp:extent cx="306457" cy="1905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457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Is every Farey Sequence longer than the one before? How do you know?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Is there a way of working out how many fractions there will be in the next sequence?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So far, all the Farey Sequences except </w:t>
      </w:r>
      <w:r w:rsidDel="00000000" w:rsidR="00000000" w:rsidRPr="00000000">
        <w:rPr>
          <w:rFonts w:ascii="MathJax_Math" w:cs="MathJax_Math" w:eastAsia="MathJax_Math" w:hAnsi="MathJax_Math"/>
          <w:i w:val="1"/>
          <w:sz w:val="30"/>
          <w:szCs w:val="30"/>
          <w:highlight w:val="white"/>
        </w:rPr>
        <w:drawing>
          <wp:inline distB="114300" distT="114300" distL="114300" distR="114300">
            <wp:extent cx="215348" cy="190500"/>
            <wp:effectExtent b="0" l="0" r="0" t="0"/>
            <wp:docPr id="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348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have contained an odd number of fractions. Can you find a Farey Sequence with an even number of fractions?</w:t>
      </w: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even"/>
      <w:footerReference r:id="rId19" w:type="default"/>
      <w:footerReference r:id="rId2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athJax_Math"/>
  <w:font w:name="MathJax_Mai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http://nrich.maths.org/2086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Farey Sequences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i">
    <w:name w:val="mi"/>
    <w:next w:val="m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8.png"/><Relationship Id="rId10" Type="http://schemas.openxmlformats.org/officeDocument/2006/relationships/image" Target="media/image2.png"/><Relationship Id="rId13" Type="http://schemas.openxmlformats.org/officeDocument/2006/relationships/image" Target="media/image4.png"/><Relationship Id="rId12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7.png"/><Relationship Id="rId17" Type="http://schemas.openxmlformats.org/officeDocument/2006/relationships/header" Target="header1.xml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2.xml"/><Relationship Id="rId7" Type="http://schemas.openxmlformats.org/officeDocument/2006/relationships/image" Target="media/image3.png"/><Relationship Id="rId8" Type="http://schemas.openxmlformats.org/officeDocument/2006/relationships/image" Target="media/image1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image" Target="media/image1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LaJiEVBCbrCcDfnVM6iBAxRMeQ==">AMUW2mXXRcYbRqj0BRMvity35p9y9f3dgHr6VJzrxFVW7Gnm+lPJn+E19wKpmFBRFfWgdHoM9EKFnjWZ4evZZlyOiiflrnRZxJ0STpR6TV4aheyXrO7vemc=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2015-06-22T15:24:00Z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