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59" w:rsidRPr="00570259" w:rsidRDefault="00570259">
      <w:pPr>
        <w:rPr>
          <w:color w:val="323E4F" w:themeColor="text2" w:themeShade="BF"/>
          <w:sz w:val="40"/>
          <w:szCs w:val="40"/>
        </w:rPr>
      </w:pPr>
      <w:r w:rsidRPr="00570259">
        <w:rPr>
          <w:color w:val="323E4F" w:themeColor="text2" w:themeShade="BF"/>
          <w:sz w:val="40"/>
          <w:szCs w:val="40"/>
        </w:rPr>
        <w:t>We are using the results from Ea</w:t>
      </w:r>
      <w:r>
        <w:rPr>
          <w:color w:val="323E4F" w:themeColor="text2" w:themeShade="BF"/>
          <w:sz w:val="40"/>
          <w:szCs w:val="40"/>
        </w:rPr>
        <w:t>stbourne as it is mos</w:t>
      </w:r>
      <w:r w:rsidRPr="00570259">
        <w:rPr>
          <w:color w:val="323E4F" w:themeColor="text2" w:themeShade="BF"/>
          <w:sz w:val="40"/>
          <w:szCs w:val="40"/>
        </w:rPr>
        <w:t xml:space="preserve">t relevant to us because it is the closest </w:t>
      </w:r>
    </w:p>
    <w:p w:rsidR="0096740E" w:rsidRPr="0096740E" w:rsidRDefault="0096740E">
      <w:pPr>
        <w:rPr>
          <w:sz w:val="40"/>
          <w:szCs w:val="40"/>
        </w:rPr>
      </w:pPr>
      <w:r w:rsidRPr="0096740E">
        <w:rPr>
          <w:color w:val="8496B0" w:themeColor="text2" w:themeTint="99"/>
          <w:sz w:val="40"/>
          <w:szCs w:val="40"/>
          <w:u w:val="single"/>
        </w:rPr>
        <w:t>Hypothesis:</w:t>
      </w:r>
      <w:r w:rsidRPr="0096740E">
        <w:rPr>
          <w:color w:val="8496B0" w:themeColor="text2" w:themeTint="99"/>
          <w:sz w:val="40"/>
          <w:szCs w:val="40"/>
        </w:rPr>
        <w:t xml:space="preserve"> </w:t>
      </w:r>
      <w:r w:rsidRPr="0096740E">
        <w:rPr>
          <w:color w:val="D5DCE4" w:themeColor="text2" w:themeTint="33"/>
          <w:sz w:val="40"/>
          <w:szCs w:val="40"/>
        </w:rPr>
        <w:t>The temperature has increased in winter since 1959</w:t>
      </w:r>
    </w:p>
    <w:p w:rsidR="0096740E" w:rsidRPr="0096740E" w:rsidRDefault="0096740E">
      <w:pPr>
        <w:rPr>
          <w:color w:val="D5DCE4" w:themeColor="text2" w:themeTint="33"/>
          <w:sz w:val="40"/>
          <w:szCs w:val="40"/>
        </w:rPr>
      </w:pPr>
      <w:r w:rsidRPr="0096740E">
        <w:rPr>
          <w:color w:val="8496B0" w:themeColor="text2" w:themeTint="99"/>
          <w:sz w:val="40"/>
          <w:szCs w:val="40"/>
          <w:u w:val="single"/>
        </w:rPr>
        <w:t>Method:</w:t>
      </w:r>
      <w:r w:rsidRPr="0096740E">
        <w:rPr>
          <w:color w:val="8496B0" w:themeColor="text2" w:themeTint="99"/>
          <w:sz w:val="40"/>
          <w:szCs w:val="40"/>
        </w:rPr>
        <w:t xml:space="preserve"> </w:t>
      </w:r>
      <w:r w:rsidRPr="0096740E">
        <w:rPr>
          <w:color w:val="D5DCE4" w:themeColor="text2" w:themeTint="33"/>
          <w:sz w:val="40"/>
          <w:szCs w:val="40"/>
        </w:rPr>
        <w:t xml:space="preserve">We will use the November through to January data for every year from 1959 to 2012 </w:t>
      </w:r>
    </w:p>
    <w:p w:rsidR="0096740E" w:rsidRPr="0096740E" w:rsidRDefault="0096740E">
      <w:pPr>
        <w:rPr>
          <w:sz w:val="40"/>
          <w:szCs w:val="40"/>
        </w:rPr>
      </w:pPr>
      <w:r w:rsidRPr="0096740E">
        <w:rPr>
          <w:color w:val="8496B0" w:themeColor="text2" w:themeTint="99"/>
          <w:sz w:val="40"/>
          <w:szCs w:val="40"/>
          <w:u w:val="single"/>
        </w:rPr>
        <w:t>Chart:</w:t>
      </w:r>
      <w:r w:rsidRPr="0096740E">
        <w:rPr>
          <w:color w:val="8496B0" w:themeColor="text2" w:themeTint="99"/>
          <w:sz w:val="40"/>
          <w:szCs w:val="40"/>
        </w:rPr>
        <w:t xml:space="preserve"> </w:t>
      </w:r>
      <w:r w:rsidRPr="0096740E">
        <w:rPr>
          <w:color w:val="D5DCE4" w:themeColor="text2" w:themeTint="33"/>
          <w:sz w:val="40"/>
          <w:szCs w:val="40"/>
        </w:rPr>
        <w:t xml:space="preserve">We will use a bar chart to show the average </w:t>
      </w:r>
      <w:r w:rsidR="00570259">
        <w:rPr>
          <w:color w:val="D5DCE4" w:themeColor="text2" w:themeTint="33"/>
          <w:sz w:val="40"/>
          <w:szCs w:val="40"/>
        </w:rPr>
        <w:t xml:space="preserve">by working out the mean </w:t>
      </w:r>
      <w:r w:rsidRPr="0096740E">
        <w:rPr>
          <w:color w:val="D5DCE4" w:themeColor="text2" w:themeTint="33"/>
          <w:sz w:val="40"/>
          <w:szCs w:val="40"/>
        </w:rPr>
        <w:t>temperature each year in the winter months</w:t>
      </w:r>
    </w:p>
    <w:p w:rsidR="0096740E" w:rsidRDefault="0096740E">
      <w:pPr>
        <w:rPr>
          <w:color w:val="D5DCE4" w:themeColor="text2" w:themeTint="33"/>
          <w:sz w:val="40"/>
          <w:szCs w:val="40"/>
        </w:rPr>
      </w:pPr>
      <w:r w:rsidRPr="0096740E">
        <w:rPr>
          <w:color w:val="8496B0" w:themeColor="text2" w:themeTint="99"/>
          <w:sz w:val="40"/>
          <w:szCs w:val="40"/>
          <w:u w:val="single"/>
        </w:rPr>
        <w:t>Results:</w:t>
      </w:r>
      <w:r w:rsidRPr="0096740E">
        <w:rPr>
          <w:color w:val="8496B0" w:themeColor="text2" w:themeTint="99"/>
          <w:sz w:val="40"/>
          <w:szCs w:val="40"/>
        </w:rPr>
        <w:t xml:space="preserve"> </w:t>
      </w:r>
      <w:r w:rsidRPr="0096740E">
        <w:rPr>
          <w:color w:val="D5DCE4" w:themeColor="text2" w:themeTint="33"/>
          <w:sz w:val="40"/>
          <w:szCs w:val="40"/>
        </w:rPr>
        <w:t>This will either show that the range varies or decrease or increases in winter since 1959</w:t>
      </w:r>
    </w:p>
    <w:p w:rsidR="00D66D8F" w:rsidRDefault="00D66D8F">
      <w:pPr>
        <w:rPr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4C23A189" wp14:editId="1FD154BA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A6573" w:rsidRPr="0096740E" w:rsidRDefault="00C7728D">
      <w:pPr>
        <w:rPr>
          <w:sz w:val="40"/>
          <w:szCs w:val="40"/>
        </w:rPr>
      </w:pPr>
      <w:r>
        <w:rPr>
          <w:sz w:val="40"/>
          <w:szCs w:val="40"/>
        </w:rPr>
        <w:t xml:space="preserve">The temperaturesfrom1959-2012 vary a lot from 6-12 </w:t>
      </w:r>
      <w:proofErr w:type="spellStart"/>
      <w:r>
        <w:rPr>
          <w:sz w:val="40"/>
          <w:szCs w:val="40"/>
        </w:rPr>
        <w:t>degreesc</w:t>
      </w:r>
      <w:proofErr w:type="spellEnd"/>
      <w:r>
        <w:rPr>
          <w:sz w:val="40"/>
          <w:szCs w:val="40"/>
        </w:rPr>
        <w:t>. Although on average the temperature has increased in winter since1959 having warmer winters in Eastbourne.</w:t>
      </w:r>
      <w:bookmarkStart w:id="0" w:name="_GoBack"/>
      <w:bookmarkEnd w:id="0"/>
    </w:p>
    <w:p w:rsidR="0096740E" w:rsidRDefault="0096740E"/>
    <w:sectPr w:rsidR="00967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0E"/>
    <w:rsid w:val="002A6573"/>
    <w:rsid w:val="00570259"/>
    <w:rsid w:val="0096740E"/>
    <w:rsid w:val="00C7728D"/>
    <w:rsid w:val="00D6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5E006-8027-49F0-A6D0-69CDCAAE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Temperature</a:t>
            </a:r>
            <a:r>
              <a:rPr lang="en-GB" baseline="0"/>
              <a:t> in winter since 1959 to 2012</a:t>
            </a:r>
            <a:endParaRPr lang="en-GB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Sheet1!$A$1:$A$53</c:f>
              <c:numCache>
                <c:formatCode>General</c:formatCode>
                <c:ptCount val="53"/>
                <c:pt idx="0">
                  <c:v>1959</c:v>
                </c:pt>
                <c:pt idx="1">
                  <c:v>1960</c:v>
                </c:pt>
                <c:pt idx="2">
                  <c:v>1961</c:v>
                </c:pt>
                <c:pt idx="3">
                  <c:v>1962</c:v>
                </c:pt>
                <c:pt idx="4">
                  <c:v>1963</c:v>
                </c:pt>
                <c:pt idx="5">
                  <c:v>1964</c:v>
                </c:pt>
                <c:pt idx="6">
                  <c:v>1965</c:v>
                </c:pt>
                <c:pt idx="7">
                  <c:v>1966</c:v>
                </c:pt>
                <c:pt idx="8">
                  <c:v>1967</c:v>
                </c:pt>
                <c:pt idx="9">
                  <c:v>1968</c:v>
                </c:pt>
                <c:pt idx="10">
                  <c:v>1969</c:v>
                </c:pt>
                <c:pt idx="11">
                  <c:v>1970</c:v>
                </c:pt>
                <c:pt idx="12">
                  <c:v>1971</c:v>
                </c:pt>
                <c:pt idx="13">
                  <c:v>1972</c:v>
                </c:pt>
                <c:pt idx="14">
                  <c:v>1973</c:v>
                </c:pt>
                <c:pt idx="15">
                  <c:v>1974</c:v>
                </c:pt>
                <c:pt idx="16">
                  <c:v>1975</c:v>
                </c:pt>
                <c:pt idx="17">
                  <c:v>1976</c:v>
                </c:pt>
                <c:pt idx="18">
                  <c:v>1977</c:v>
                </c:pt>
                <c:pt idx="19">
                  <c:v>1978</c:v>
                </c:pt>
                <c:pt idx="20">
                  <c:v>1979</c:v>
                </c:pt>
                <c:pt idx="21">
                  <c:v>1980</c:v>
                </c:pt>
                <c:pt idx="22">
                  <c:v>1981</c:v>
                </c:pt>
                <c:pt idx="23">
                  <c:v>1982</c:v>
                </c:pt>
                <c:pt idx="24">
                  <c:v>1983</c:v>
                </c:pt>
                <c:pt idx="25">
                  <c:v>1984</c:v>
                </c:pt>
                <c:pt idx="26">
                  <c:v>1985</c:v>
                </c:pt>
                <c:pt idx="27">
                  <c:v>1986</c:v>
                </c:pt>
                <c:pt idx="28">
                  <c:v>1987</c:v>
                </c:pt>
                <c:pt idx="29">
                  <c:v>1989</c:v>
                </c:pt>
                <c:pt idx="30">
                  <c:v>1990</c:v>
                </c:pt>
                <c:pt idx="31">
                  <c:v>1991</c:v>
                </c:pt>
                <c:pt idx="32">
                  <c:v>1992</c:v>
                </c:pt>
                <c:pt idx="33">
                  <c:v>1993</c:v>
                </c:pt>
                <c:pt idx="34">
                  <c:v>1994</c:v>
                </c:pt>
                <c:pt idx="35">
                  <c:v>1995</c:v>
                </c:pt>
                <c:pt idx="36">
                  <c:v>1996</c:v>
                </c:pt>
                <c:pt idx="37">
                  <c:v>1997</c:v>
                </c:pt>
                <c:pt idx="38">
                  <c:v>1998</c:v>
                </c:pt>
                <c:pt idx="39">
                  <c:v>1999</c:v>
                </c:pt>
                <c:pt idx="40">
                  <c:v>2000</c:v>
                </c:pt>
                <c:pt idx="41">
                  <c:v>2001</c:v>
                </c:pt>
                <c:pt idx="42">
                  <c:v>2002</c:v>
                </c:pt>
                <c:pt idx="43">
                  <c:v>2003</c:v>
                </c:pt>
                <c:pt idx="44">
                  <c:v>2004</c:v>
                </c:pt>
                <c:pt idx="45">
                  <c:v>2005</c:v>
                </c:pt>
                <c:pt idx="46">
                  <c:v>2006</c:v>
                </c:pt>
                <c:pt idx="47">
                  <c:v>2007</c:v>
                </c:pt>
                <c:pt idx="48">
                  <c:v>2008</c:v>
                </c:pt>
                <c:pt idx="49">
                  <c:v>2009</c:v>
                </c:pt>
                <c:pt idx="50">
                  <c:v>2010</c:v>
                </c:pt>
                <c:pt idx="51">
                  <c:v>2011</c:v>
                </c:pt>
                <c:pt idx="52">
                  <c:v>2012</c:v>
                </c:pt>
              </c:numCache>
            </c:numRef>
          </c:cat>
          <c:val>
            <c:numRef>
              <c:f>Sheet1!$B$1:$B$53</c:f>
              <c:numCache>
                <c:formatCode>General</c:formatCode>
                <c:ptCount val="53"/>
                <c:pt idx="0">
                  <c:v>9.4</c:v>
                </c:pt>
                <c:pt idx="1">
                  <c:v>8.9</c:v>
                </c:pt>
                <c:pt idx="2">
                  <c:v>8.3000000000000007</c:v>
                </c:pt>
                <c:pt idx="3">
                  <c:v>7.8</c:v>
                </c:pt>
                <c:pt idx="4">
                  <c:v>6.3</c:v>
                </c:pt>
                <c:pt idx="5">
                  <c:v>8.1999999999999993</c:v>
                </c:pt>
                <c:pt idx="6">
                  <c:v>8.5</c:v>
                </c:pt>
                <c:pt idx="7">
                  <c:v>8.1999999999999993</c:v>
                </c:pt>
                <c:pt idx="8">
                  <c:v>8.1999999999999993</c:v>
                </c:pt>
                <c:pt idx="9">
                  <c:v>7.7</c:v>
                </c:pt>
                <c:pt idx="10">
                  <c:v>8.8000000000000007</c:v>
                </c:pt>
                <c:pt idx="11">
                  <c:v>9</c:v>
                </c:pt>
                <c:pt idx="12">
                  <c:v>9.1999999999999993</c:v>
                </c:pt>
                <c:pt idx="13">
                  <c:v>9</c:v>
                </c:pt>
                <c:pt idx="14">
                  <c:v>9</c:v>
                </c:pt>
                <c:pt idx="15">
                  <c:v>10.5</c:v>
                </c:pt>
                <c:pt idx="16">
                  <c:v>9.6</c:v>
                </c:pt>
                <c:pt idx="17">
                  <c:v>8.6</c:v>
                </c:pt>
                <c:pt idx="18">
                  <c:v>9</c:v>
                </c:pt>
                <c:pt idx="19">
                  <c:v>9.6</c:v>
                </c:pt>
                <c:pt idx="20">
                  <c:v>8.6</c:v>
                </c:pt>
                <c:pt idx="21">
                  <c:v>8.1999999999999993</c:v>
                </c:pt>
                <c:pt idx="22">
                  <c:v>8.6999999999999993</c:v>
                </c:pt>
                <c:pt idx="23">
                  <c:v>9.3000000000000007</c:v>
                </c:pt>
                <c:pt idx="24">
                  <c:v>10.199999999999999</c:v>
                </c:pt>
                <c:pt idx="25">
                  <c:v>10.5</c:v>
                </c:pt>
                <c:pt idx="26">
                  <c:v>7.7</c:v>
                </c:pt>
                <c:pt idx="27">
                  <c:v>9.9</c:v>
                </c:pt>
                <c:pt idx="28">
                  <c:v>7.5</c:v>
                </c:pt>
                <c:pt idx="29">
                  <c:v>9.9</c:v>
                </c:pt>
                <c:pt idx="30">
                  <c:v>10.199999999999999</c:v>
                </c:pt>
                <c:pt idx="31">
                  <c:v>9.6</c:v>
                </c:pt>
                <c:pt idx="32">
                  <c:v>9.1</c:v>
                </c:pt>
                <c:pt idx="33">
                  <c:v>9.1999999999999993</c:v>
                </c:pt>
                <c:pt idx="34">
                  <c:v>9.6</c:v>
                </c:pt>
                <c:pt idx="35">
                  <c:v>11</c:v>
                </c:pt>
                <c:pt idx="36">
                  <c:v>9.1</c:v>
                </c:pt>
                <c:pt idx="37">
                  <c:v>8.1</c:v>
                </c:pt>
                <c:pt idx="38">
                  <c:v>9.5</c:v>
                </c:pt>
                <c:pt idx="39">
                  <c:v>10</c:v>
                </c:pt>
                <c:pt idx="40">
                  <c:v>9.6999999999999993</c:v>
                </c:pt>
                <c:pt idx="41">
                  <c:v>9.1999999999999993</c:v>
                </c:pt>
                <c:pt idx="42">
                  <c:v>10.7</c:v>
                </c:pt>
                <c:pt idx="43">
                  <c:v>10.1</c:v>
                </c:pt>
                <c:pt idx="44">
                  <c:v>10</c:v>
                </c:pt>
                <c:pt idx="45">
                  <c:v>9.6</c:v>
                </c:pt>
                <c:pt idx="46">
                  <c:v>10.6</c:v>
                </c:pt>
                <c:pt idx="47">
                  <c:v>10.7</c:v>
                </c:pt>
                <c:pt idx="48">
                  <c:v>10</c:v>
                </c:pt>
                <c:pt idx="49">
                  <c:v>9.5</c:v>
                </c:pt>
                <c:pt idx="50">
                  <c:v>6.7</c:v>
                </c:pt>
                <c:pt idx="51">
                  <c:v>10.8</c:v>
                </c:pt>
                <c:pt idx="52">
                  <c:v>10.3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044460544"/>
        <c:axId val="-2044454016"/>
      </c:barChart>
      <c:catAx>
        <c:axId val="-204446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044454016"/>
        <c:crosses val="autoZero"/>
        <c:auto val="1"/>
        <c:lblAlgn val="ctr"/>
        <c:lblOffset val="100"/>
        <c:noMultiLvlLbl val="0"/>
      </c:catAx>
      <c:valAx>
        <c:axId val="-2044454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044460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Twynham Academy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McMenemy Reed</dc:creator>
  <cp:keywords/>
  <dc:description/>
  <cp:lastModifiedBy>Chloe McMenemy Reed</cp:lastModifiedBy>
  <cp:revision>4</cp:revision>
  <dcterms:created xsi:type="dcterms:W3CDTF">2014-06-19T13:38:00Z</dcterms:created>
  <dcterms:modified xsi:type="dcterms:W3CDTF">2014-07-11T13:49:00Z</dcterms:modified>
</cp:coreProperties>
</file>