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6E2C2" w14:textId="77777777" w:rsidR="003C0573" w:rsidRPr="003C0573" w:rsidRDefault="003C0573" w:rsidP="003C057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C057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en-US"/>
        </w:rPr>
        <w:t>Towering Trapeziums</w:t>
      </w:r>
    </w:p>
    <w:p w14:paraId="759600EB" w14:textId="77777777" w:rsidR="003C0573" w:rsidRPr="003C0573" w:rsidRDefault="003C0573" w:rsidP="003C0573">
      <w:pPr>
        <w:rPr>
          <w:rFonts w:ascii="Times New Roman" w:hAnsi="Times New Roman" w:cs="Times New Roman"/>
          <w:b/>
          <w:u w:val="single"/>
          <w:lang w:val="en-US"/>
        </w:rPr>
      </w:pPr>
      <w:r w:rsidRPr="003C0573">
        <w:rPr>
          <w:rFonts w:ascii="Times New Roman" w:hAnsi="Times New Roman" w:cs="Times New Roman"/>
          <w:b/>
          <w:bCs/>
          <w:iCs/>
          <w:color w:val="000000"/>
          <w:u w:val="single"/>
          <w:lang w:val="en-US"/>
        </w:rPr>
        <w:t>If lines OC and AB have the same length, calculate the area of trapezium ABDC.</w:t>
      </w:r>
    </w:p>
    <w:p w14:paraId="16AE2C69" w14:textId="77777777" w:rsidR="003C0573" w:rsidRDefault="003C0573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14:paraId="32EA877F" w14:textId="41312B26" w:rsidR="003C0573" w:rsidRPr="003C0573" w:rsidRDefault="003C0573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At the outset, we are given information that triangle OGH is isosceles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since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all the following lines are parallel: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AB, CD, EF, GH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and moreover triangle OAB is a similar shape to that of triangle OGH.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Thus,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triangle OGH has angles of 45,45 and 90 wherein angle OGH is the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90-degree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angle. </w:t>
      </w:r>
      <w:r w:rsidR="00A47D46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In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addition,</w:t>
      </w:r>
      <w:r w:rsidR="00A47D46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we are also told that triangle OAB is one square unit. Implementing the given information above, it is possible for us to determine the area of the trapezium ABDC.</w:t>
      </w:r>
    </w:p>
    <w:p w14:paraId="6A5CD452" w14:textId="77777777" w:rsidR="00A47D46" w:rsidRDefault="00A47D46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14:paraId="064A4F0B" w14:textId="4059EA95" w:rsidR="003C0573" w:rsidRPr="003C0573" w:rsidRDefault="009E4FAE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To</w:t>
      </w:r>
      <w:r w:rsidR="00A47D46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calculate the area of the trapezium, firstly we need to deal with the area of triangle OGH. The formula for calculating the area of a triangle is as follow: A = (bh)/2 </w:t>
      </w:r>
    </w:p>
    <w:p w14:paraId="6BC71922" w14:textId="2E4CCB68" w:rsidR="003C0573" w:rsidRDefault="00A47D46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Multiplying both sides by two to remove the denominator of the fraction on the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right-hand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side of the formula gives </w:t>
      </w:r>
      <w:r w:rsidR="003C0573"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2A = bh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. </w:t>
      </w:r>
    </w:p>
    <w:p w14:paraId="501C19C6" w14:textId="77777777" w:rsidR="00A47D46" w:rsidRDefault="00A47D46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</w:p>
    <w:p w14:paraId="61159479" w14:textId="7025BB7A" w:rsidR="003C0573" w:rsidRPr="003C0573" w:rsidRDefault="00A47D46" w:rsidP="003C057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By halving the right angled isosceles </w:t>
      </w:r>
      <w:r w:rsidR="003B72BF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triangle into two separate right angled isosceles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triangles, length</w:t>
      </w:r>
      <w:r w:rsidR="003B72BF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AB can be determined by using the ratio for the relative sizes for any right angled isosceles triangle, with this ratio being 1:1:2 in no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order</w:t>
      </w:r>
      <w:r w:rsidR="003B72BF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.  </w:t>
      </w:r>
    </w:p>
    <w:p w14:paraId="13EDD41B" w14:textId="16B116C5" w:rsidR="003B72BF" w:rsidRPr="00330F58" w:rsidRDefault="003B72BF" w:rsidP="003C0573">
      <w:pPr>
        <w:rPr>
          <w:rFonts w:ascii="Times New Roman" w:eastAsiaTheme="minorEastAsia" w:hAnsi="Times New Roman" w:cs="Times New Roman"/>
          <w:iCs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If we suppose that length AB = b and 2=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h,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the ratio of length AB/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2: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height h = 1:1. When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rearranged,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this tells us that length AB is twice the length size of height h therefore since the area is 1 square unit and h having to equal one, length AB must equal 2. Given that AB=OC, OC= 2 and similarly OD=2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since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OCD is a similar triangle to that of triangle OGH. Once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again,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using relative sizes for a right angled isosceles </w:t>
      </w:r>
      <w:r w:rsidR="009E4FAE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triangle,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the height of the trapezium ABDC can be determined by the following: </w:t>
      </w:r>
    </w:p>
    <w:p w14:paraId="25EEC3BC" w14:textId="77777777" w:rsidR="00330F58" w:rsidRPr="00C563E7" w:rsidRDefault="00C563E7" w:rsidP="003C0573">
      <w:pPr>
        <w:rPr>
          <w:rFonts w:ascii="Times New Roman" w:eastAsiaTheme="minorEastAsia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CD=OC :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:1</m:t>
          </m:r>
        </m:oMath>
      </m:oMathPara>
    </w:p>
    <w:p w14:paraId="53D7D86A" w14:textId="77777777" w:rsidR="003C0573" w:rsidRDefault="00330F58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CD=2 × (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)</m:t>
          </m:r>
        </m:oMath>
      </m:oMathPara>
    </w:p>
    <w:p w14:paraId="1A964189" w14:textId="77777777" w:rsidR="00330F58" w:rsidRPr="003C0573" w:rsidRDefault="00330F58" w:rsidP="003C0573">
      <w:pPr>
        <w:rPr>
          <w:rFonts w:ascii="Times New Roman" w:hAnsi="Times New Roman" w:cs="Times New Roman"/>
          <w:lang w:val="en-US"/>
        </w:rPr>
      </w:pPr>
    </w:p>
    <w:p w14:paraId="115CF53F" w14:textId="77777777" w:rsidR="003C0573" w:rsidRPr="003C0573" w:rsidRDefault="003C0573" w:rsidP="003C0573">
      <w:pPr>
        <w:rPr>
          <w:rFonts w:ascii="Times New Roman" w:hAnsi="Times New Roman" w:cs="Times New Roman"/>
          <w:b/>
          <w:lang w:val="en-US"/>
        </w:rPr>
      </w:pPr>
      <w:r w:rsidRPr="003C0573"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  <w:t>Because we now know that the height of each right angled isosceles triangle in this shape is half the base, the height of triangle OCD = 2^1/2. Thus, the height of the trapezium is 2^1/2 – 1</w:t>
      </w:r>
    </w:p>
    <w:p w14:paraId="36392883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(a+b)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h</m:t>
          </m:r>
        </m:oMath>
      </m:oMathPara>
    </w:p>
    <w:p w14:paraId="49D3ED06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(AB+CD)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-1)</m:t>
          </m:r>
        </m:oMath>
      </m:oMathPara>
    </w:p>
    <w:p w14:paraId="6238EB4D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(2 ×2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2"/>
                          <w:szCs w:val="22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2"/>
                          <w:szCs w:val="22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)+2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 xml:space="preserve">-1)  </m:t>
          </m:r>
        </m:oMath>
      </m:oMathPara>
    </w:p>
    <w:p w14:paraId="3CA7C6EF" w14:textId="77777777" w:rsidR="00330F58" w:rsidRPr="00330F58" w:rsidRDefault="00330F58" w:rsidP="003C0573">
      <w:pPr>
        <w:rPr>
          <w:rFonts w:ascii="Times New Roman" w:eastAsiaTheme="minorEastAsia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(2)</m:t>
          </m:r>
        </m:oMath>
      </m:oMathPara>
    </w:p>
    <w:p w14:paraId="0B879020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Resulting in A=1 square unit</m:t>
          </m:r>
        </m:oMath>
      </m:oMathPara>
    </w:p>
    <w:p w14:paraId="6AB0D22C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</w:p>
    <w:p w14:paraId="1C7BC4D1" w14:textId="77777777" w:rsidR="00330F58" w:rsidRDefault="00330F58" w:rsidP="003C0573">
      <w:pPr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</w:pPr>
    </w:p>
    <w:p w14:paraId="533A4FCE" w14:textId="77777777" w:rsidR="003C0573" w:rsidRPr="003C0573" w:rsidRDefault="003C0573" w:rsidP="003C0573">
      <w:pPr>
        <w:rPr>
          <w:rFonts w:ascii="Times New Roman" w:hAnsi="Times New Roman" w:cs="Times New Roman"/>
          <w:u w:val="single"/>
          <w:lang w:val="en-US"/>
        </w:rPr>
      </w:pPr>
      <w:r w:rsidRPr="003C0573">
        <w:rPr>
          <w:rFonts w:ascii="Times New Roman" w:hAnsi="Times New Roman" w:cs="Times New Roman"/>
          <w:b/>
          <w:bCs/>
          <w:iCs/>
          <w:color w:val="000000"/>
          <w:u w:val="single"/>
          <w:lang w:val="en-US"/>
        </w:rPr>
        <w:t>If lines OE and CD also have the same length, calculate the area of trapezium CDFE.</w:t>
      </w:r>
    </w:p>
    <w:p w14:paraId="7F146F6B" w14:textId="77777777" w:rsidR="003C0573" w:rsidRPr="003C0573" w:rsidRDefault="00330F58" w:rsidP="003C0573">
      <w:pPr>
        <w:rPr>
          <w:rFonts w:ascii="Times New Roman" w:hAnsi="Times New Roman" w:cs="Times New Roman"/>
          <w:lang w:val="en-US"/>
        </w:rPr>
      </w:pPr>
      <w:r w:rsidRP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Length OE = 2(2^1/2) </w:t>
      </w:r>
    </w:p>
    <w:p w14:paraId="4E03570D" w14:textId="39972F12" w:rsidR="003C0573" w:rsidRPr="003C0573" w:rsidRDefault="00330F58" w:rsidP="003C0573">
      <w:pPr>
        <w:rPr>
          <w:rFonts w:ascii="Times New Roman" w:hAnsi="Times New Roman" w:cs="Times New Roman"/>
          <w:lang w:val="en-US"/>
        </w:rPr>
      </w:pPr>
      <w:r w:rsidRP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Since </w:t>
      </w:r>
      <w:r w:rsidR="003C0573"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EF = </w:t>
      </w:r>
      <w:r w:rsidR="009E4FAE"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4</w:t>
      </w:r>
      <w:r w:rsidR="009E4FAE" w:rsidRP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,</w:t>
      </w:r>
      <w:r w:rsidRP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 the height of triangle OEF=2 </w:t>
      </w:r>
    </w:p>
    <w:p w14:paraId="712F7F3D" w14:textId="77777777" w:rsidR="003C0573" w:rsidRPr="003C0573" w:rsidRDefault="00C563E7" w:rsidP="00C563E7">
      <w:pPr>
        <w:rPr>
          <w:rFonts w:ascii="Times New Roman" w:hAnsi="Times New Roman" w:cs="Times New Roman"/>
          <w:lang w:val="en-US"/>
        </w:rPr>
      </w:pPr>
      <w:r w:rsidRP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Using the height of the trapezium = 2 – 2^1/2</w:t>
      </w:r>
    </w:p>
    <w:p w14:paraId="4631281E" w14:textId="77777777" w:rsidR="003C0573" w:rsidRPr="003C0573" w:rsidRDefault="003C0573" w:rsidP="003C0573">
      <w:pPr>
        <w:rPr>
          <w:rFonts w:ascii="Times New Roman" w:hAnsi="Times New Roman" w:cs="Times New Roman"/>
          <w:lang w:val="en-US"/>
        </w:rPr>
      </w:pPr>
      <w:r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Area of trapezium CDFE:</w:t>
      </w:r>
    </w:p>
    <w:p w14:paraId="66DCE289" w14:textId="77777777" w:rsidR="00C563E7" w:rsidRDefault="00C563E7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(a+b)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h</m:t>
          </m:r>
        </m:oMath>
      </m:oMathPara>
    </w:p>
    <w:p w14:paraId="42EB813A" w14:textId="77777777" w:rsidR="003C0573" w:rsidRPr="003C0573" w:rsidRDefault="00C563E7" w:rsidP="003C0573">
      <w:pPr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A=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EF+CE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(2-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)</m:t>
          </m:r>
        </m:oMath>
      </m:oMathPara>
    </w:p>
    <w:p w14:paraId="5FC977A5" w14:textId="77777777" w:rsidR="00C563E7" w:rsidRDefault="00C563E7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 xml:space="preserve">A=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(4+2(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2"/>
                          <w:szCs w:val="22"/>
                          <w:lang w:val="en-US"/>
                        </w:rPr>
                        <m:t xml:space="preserve">1 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2"/>
                          <w:szCs w:val="22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(2-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)</m:t>
          </m:r>
        </m:oMath>
      </m:oMathPara>
    </w:p>
    <w:p w14:paraId="4EFFCC28" w14:textId="77777777" w:rsidR="00C563E7" w:rsidRPr="00C563E7" w:rsidRDefault="00C563E7" w:rsidP="003C0573">
      <w:pPr>
        <w:rPr>
          <w:rFonts w:ascii="Times New Roman" w:eastAsiaTheme="minorEastAsia" w:hAnsi="Times New Roman" w:cs="Times New Roman"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(4)</m:t>
          </m:r>
        </m:oMath>
      </m:oMathPara>
    </w:p>
    <w:p w14:paraId="464804DB" w14:textId="77777777" w:rsidR="00C563E7" w:rsidRDefault="00C563E7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Thus Area of trapezium CDFE=2 square units</m:t>
          </m:r>
        </m:oMath>
      </m:oMathPara>
    </w:p>
    <w:p w14:paraId="53EF15BB" w14:textId="77777777" w:rsidR="00C563E7" w:rsidRDefault="00C563E7" w:rsidP="003C0573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14:paraId="16218E6A" w14:textId="77777777" w:rsidR="003C0573" w:rsidRPr="003C0573" w:rsidRDefault="003C0573" w:rsidP="003C0573">
      <w:pPr>
        <w:rPr>
          <w:rFonts w:ascii="Times New Roman" w:hAnsi="Times New Roman" w:cs="Times New Roman"/>
          <w:b/>
          <w:u w:val="single"/>
          <w:lang w:val="en-US"/>
        </w:rPr>
      </w:pPr>
      <w:r w:rsidRPr="003C0573">
        <w:rPr>
          <w:rFonts w:ascii="Times New Roman" w:hAnsi="Times New Roman" w:cs="Times New Roman"/>
          <w:b/>
          <w:bCs/>
          <w:iCs/>
          <w:color w:val="000000"/>
          <w:u w:val="single"/>
          <w:lang w:val="en-US"/>
        </w:rPr>
        <w:t>If lines OG and EF also have the same length, calculate the area of trapezium EFHG.</w:t>
      </w:r>
    </w:p>
    <w:p w14:paraId="20612611" w14:textId="77777777" w:rsidR="00C563E7" w:rsidRDefault="00C563E7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14:paraId="49FE1E6F" w14:textId="77777777" w:rsidR="003C0573" w:rsidRPr="003C0573" w:rsidRDefault="00C563E7" w:rsidP="003C057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As </w:t>
      </w:r>
      <w:r w:rsidR="003C0573"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OG = 4</w:t>
      </w:r>
      <w: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, implementing the relative sizes ratio for that of a right angled isosceles triangle we determine that </w:t>
      </w:r>
      <m:oMath>
        <m:r>
          <w:rPr>
            <w:rFonts w:ascii="Cambria Math" w:hAnsi="Cambria Math" w:cs="Times New Roman"/>
            <w:color w:val="000000"/>
            <w:sz w:val="22"/>
            <w:szCs w:val="22"/>
            <w:lang w:val="en-US"/>
          </w:rPr>
          <m:t>GH=4(</m:t>
        </m:r>
        <m:sSup>
          <m:sSupPr>
            <m:ctrlPr>
              <w:rPr>
                <w:rFonts w:ascii="Cambria Math" w:hAnsi="Cambria Math" w:cs="Times New Roman"/>
                <w:i/>
                <w:iCs/>
                <w:color w:val="000000"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2"/>
                <w:szCs w:val="22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color w:val="000000"/>
            <w:sz w:val="22"/>
            <w:szCs w:val="22"/>
            <w:lang w:val="en-US"/>
          </w:rPr>
          <m:t>)</m:t>
        </m:r>
      </m:oMath>
    </w:p>
    <w:p w14:paraId="34E2745F" w14:textId="77777777" w:rsidR="003C0573" w:rsidRPr="003C0573" w:rsidRDefault="003C0573" w:rsidP="003C0573">
      <w:pPr>
        <w:rPr>
          <w:rFonts w:ascii="Times New Roman" w:hAnsi="Times New Roman" w:cs="Times New Roman"/>
          <w:b/>
          <w:lang w:val="en-US"/>
        </w:rPr>
      </w:pPr>
      <w:r w:rsidRPr="003C0573"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  <w:t>Height of triangle OGH = 2 (2</w:t>
      </w:r>
      <w:r w:rsidRPr="003C0573">
        <w:rPr>
          <w:rFonts w:ascii="Times New Roman" w:hAnsi="Times New Roman" w:cs="Times New Roman"/>
          <w:b/>
          <w:iCs/>
          <w:color w:val="000000"/>
          <w:sz w:val="13"/>
          <w:szCs w:val="13"/>
          <w:vertAlign w:val="superscript"/>
          <w:lang w:val="en-US"/>
        </w:rPr>
        <w:t>1/2</w:t>
      </w:r>
      <w:r w:rsidRPr="003C0573"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  <w:t>)</w:t>
      </w:r>
    </w:p>
    <w:p w14:paraId="6E973780" w14:textId="77777777" w:rsidR="003C0573" w:rsidRPr="003C0573" w:rsidRDefault="003C0573" w:rsidP="003C0573">
      <w:pPr>
        <w:rPr>
          <w:rFonts w:ascii="Times New Roman" w:hAnsi="Times New Roman" w:cs="Times New Roman"/>
          <w:b/>
          <w:lang w:val="en-US"/>
        </w:rPr>
      </w:pPr>
      <w:r w:rsidRPr="003C0573"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  <w:t>But the height of trapezium = 2 (2</w:t>
      </w:r>
      <w:r w:rsidRPr="003C0573">
        <w:rPr>
          <w:rFonts w:ascii="Times New Roman" w:hAnsi="Times New Roman" w:cs="Times New Roman"/>
          <w:b/>
          <w:iCs/>
          <w:color w:val="000000"/>
          <w:sz w:val="13"/>
          <w:szCs w:val="13"/>
          <w:vertAlign w:val="superscript"/>
          <w:lang w:val="en-US"/>
        </w:rPr>
        <w:t>1/2</w:t>
      </w:r>
      <w:r w:rsidRPr="003C0573">
        <w:rPr>
          <w:rFonts w:ascii="Times New Roman" w:hAnsi="Times New Roman" w:cs="Times New Roman"/>
          <w:b/>
          <w:iCs/>
          <w:color w:val="000000"/>
          <w:sz w:val="22"/>
          <w:szCs w:val="22"/>
          <w:lang w:val="en-US"/>
        </w:rPr>
        <w:t>) – 2</w:t>
      </w:r>
    </w:p>
    <w:p w14:paraId="3A392548" w14:textId="77777777" w:rsidR="00C563E7" w:rsidRDefault="00C563E7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14:paraId="3D5817B1" w14:textId="77777777" w:rsidR="003C0573" w:rsidRDefault="003C0573" w:rsidP="003C0573">
      <w:pPr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</w:pPr>
      <w:r w:rsidRPr="003C0573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Area of trapezium EFHG</w:t>
      </w:r>
      <w:r w:rsidR="00C563E7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 xml:space="preserve">:         </w:t>
      </w:r>
      <m:oMath>
        <m:r>
          <w:rPr>
            <w:rFonts w:ascii="Cambria Math" w:hAnsi="Cambria Math" w:cs="Times New Roman"/>
            <w:color w:val="000000"/>
            <w:sz w:val="22"/>
            <w:szCs w:val="22"/>
            <w:lang w:val="en-US"/>
          </w:rPr>
          <m:t>A=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2"/>
                <w:szCs w:val="22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  <w:lang w:val="en-US"/>
                  </w:rPr>
                  <m:t>OG+GH</m:t>
                </m:r>
              </m:e>
            </m:d>
          </m:num>
          <m:den>
            <m:r>
              <w:rPr>
                <w:rFonts w:ascii="Cambria Math" w:hAnsi="Cambria Math" w:cs="Times New Roman"/>
                <w:color w:val="000000"/>
                <w:sz w:val="22"/>
                <w:szCs w:val="22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2"/>
            <w:szCs w:val="22"/>
            <w:lang w:val="en-US"/>
          </w:rPr>
          <m:t>(2×</m:t>
        </m:r>
        <m:sSup>
          <m:sSupPr>
            <m:ctrlPr>
              <w:rPr>
                <w:rFonts w:ascii="Cambria Math" w:hAnsi="Cambria Math" w:cs="Times New Roman"/>
                <w:i/>
                <w:iCs/>
                <w:color w:val="000000"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2"/>
                <w:szCs w:val="22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color w:val="000000"/>
            <w:sz w:val="22"/>
            <w:szCs w:val="22"/>
            <w:lang w:val="en-US"/>
          </w:rPr>
          <m:t>-2)</m:t>
        </m:r>
      </m:oMath>
    </w:p>
    <w:p w14:paraId="7791C7A6" w14:textId="77777777" w:rsidR="00C563E7" w:rsidRPr="003C0573" w:rsidRDefault="00C563E7" w:rsidP="003C0573">
      <w:pPr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4× 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(2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2</m:t>
              </m:r>
            </m:e>
          </m:rad>
          <m:r>
            <w:rPr>
              <w:rFonts w:ascii="Cambria Math" w:hAnsi="Cambria Math" w:cs="Times New Roman"/>
              <w:lang w:val="en-US"/>
            </w:rPr>
            <m:t>-2)</m:t>
          </m:r>
        </m:oMath>
      </m:oMathPara>
    </w:p>
    <w:p w14:paraId="2EA53027" w14:textId="77777777" w:rsidR="00F53597" w:rsidRDefault="00F53597" w:rsidP="003C0573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2"/>
              <w:szCs w:val="22"/>
              <w:lang w:val="en-US"/>
            </w:rPr>
            <m:t>(8)</m:t>
          </m:r>
        </m:oMath>
      </m:oMathPara>
    </w:p>
    <w:p w14:paraId="123523F5" w14:textId="77777777" w:rsidR="003C0573" w:rsidRPr="003C0573" w:rsidRDefault="00F53597" w:rsidP="003C057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iCs/>
          <w:color w:val="000000"/>
          <w:lang w:val="en-US"/>
        </w:rPr>
        <w:t xml:space="preserve">                                                         </w:t>
      </w:r>
      <w:r w:rsidR="003C0573" w:rsidRPr="003C0573">
        <w:rPr>
          <w:rFonts w:ascii="Times New Roman" w:hAnsi="Times New Roman" w:cs="Times New Roman"/>
          <w:b/>
          <w:iCs/>
          <w:color w:val="000000"/>
          <w:lang w:val="en-US"/>
        </w:rPr>
        <w:t>A = 4 square units</w:t>
      </w:r>
    </w:p>
    <w:p w14:paraId="1BB1350A" w14:textId="77777777" w:rsidR="003C0573" w:rsidRPr="003C0573" w:rsidRDefault="003C0573" w:rsidP="003C0573">
      <w:pPr>
        <w:rPr>
          <w:rFonts w:ascii="Times New Roman" w:eastAsia="Times New Roman" w:hAnsi="Times New Roman" w:cs="Times New Roman"/>
          <w:lang w:val="en-US"/>
        </w:rPr>
      </w:pPr>
    </w:p>
    <w:p w14:paraId="784C7B99" w14:textId="77777777" w:rsidR="003C0573" w:rsidRPr="003C0573" w:rsidRDefault="003C0573" w:rsidP="003C0573">
      <w:pPr>
        <w:rPr>
          <w:rFonts w:ascii="Times New Roman" w:eastAsia="Times New Roman" w:hAnsi="Times New Roman" w:cs="Times New Roman"/>
          <w:lang w:val="en-US"/>
        </w:rPr>
      </w:pPr>
    </w:p>
    <w:p w14:paraId="76C0A722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n-US"/>
        </w:rPr>
        <w:t xml:space="preserve">What would be the area of the </w:t>
      </w:r>
      <w:r w:rsidRPr="00B301E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>nth</w:t>
      </w:r>
      <w:r w:rsidRPr="00B301EA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n-US"/>
        </w:rPr>
        <w:t xml:space="preserve"> trapezium in the chain?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20"/>
        <w:gridCol w:w="320"/>
        <w:gridCol w:w="320"/>
        <w:gridCol w:w="320"/>
        <w:gridCol w:w="440"/>
      </w:tblGrid>
      <w:tr w:rsidR="00B301EA" w:rsidRPr="00B301EA" w14:paraId="69DE4EDB" w14:textId="77777777" w:rsidTr="00B301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8CA39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Term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2C4C0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2BDA2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1DF6B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4F777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8A25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5</w:t>
            </w:r>
          </w:p>
        </w:tc>
      </w:tr>
      <w:tr w:rsidR="00B301EA" w:rsidRPr="00B301EA" w14:paraId="7461AEFE" w14:textId="77777777" w:rsidTr="00B301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42837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74BD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63752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53BA0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D4644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D49B6" w14:textId="77777777" w:rsidR="00B301EA" w:rsidRPr="00B301EA" w:rsidRDefault="00B301EA" w:rsidP="00B301EA">
            <w:pPr>
              <w:rPr>
                <w:rFonts w:ascii="Times New Roman" w:hAnsi="Times New Roman" w:cs="Times New Roman"/>
                <w:lang w:val="en-US"/>
              </w:rPr>
            </w:pPr>
            <w:r w:rsidRPr="00B301EA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16</w:t>
            </w:r>
          </w:p>
        </w:tc>
      </w:tr>
    </w:tbl>
    <w:p w14:paraId="62834B6B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The sequence increases exponentially, because the term will be 2 to the power of the term before.</w:t>
      </w:r>
    </w:p>
    <w:p w14:paraId="61F13F88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E.g.</w:t>
      </w:r>
    </w:p>
    <w:p w14:paraId="7F1F2150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If we want the area of term 5, we can calculate it using 2^4 = 16 and this works for the areas we have found using algebra.</w:t>
      </w:r>
    </w:p>
    <w:p w14:paraId="684E0341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Therefore, the area for the nth term will be:</w:t>
      </w:r>
    </w:p>
    <w:p w14:paraId="13DFC4EF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proofErr w:type="spellStart"/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A</w:t>
      </w:r>
      <w:proofErr w:type="spellEnd"/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= Area</w:t>
      </w:r>
    </w:p>
    <w:p w14:paraId="0A92C305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n = nth term</w:t>
      </w:r>
    </w:p>
    <w:p w14:paraId="3B504127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lang w:val="en-US"/>
        </w:rPr>
        <w:t>A</w:t>
      </w:r>
      <w:r w:rsidRPr="00B301EA">
        <w:rPr>
          <w:rFonts w:ascii="Times New Roman" w:hAnsi="Times New Roman" w:cs="Times New Roman"/>
          <w:i/>
          <w:iCs/>
          <w:color w:val="000000"/>
          <w:sz w:val="14"/>
          <w:szCs w:val="14"/>
          <w:vertAlign w:val="subscript"/>
          <w:lang w:val="en-US"/>
        </w:rPr>
        <w:t xml:space="preserve">n </w:t>
      </w:r>
      <w:r w:rsidRPr="00B301EA">
        <w:rPr>
          <w:rFonts w:ascii="Times New Roman" w:hAnsi="Times New Roman" w:cs="Times New Roman"/>
          <w:i/>
          <w:iCs/>
          <w:color w:val="000000"/>
          <w:lang w:val="en-US"/>
        </w:rPr>
        <w:t>= 2</w:t>
      </w:r>
      <w:r w:rsidRPr="00B301EA">
        <w:rPr>
          <w:rFonts w:ascii="Times New Roman" w:hAnsi="Times New Roman" w:cs="Times New Roman"/>
          <w:i/>
          <w:iCs/>
          <w:color w:val="000000"/>
          <w:sz w:val="14"/>
          <w:szCs w:val="14"/>
          <w:vertAlign w:val="superscript"/>
          <w:lang w:val="en-US"/>
        </w:rPr>
        <w:t>n-1</w:t>
      </w:r>
    </w:p>
    <w:p w14:paraId="10E040B3" w14:textId="77777777" w:rsidR="00B301EA" w:rsidRPr="00B301EA" w:rsidRDefault="00B301EA" w:rsidP="00B301EA">
      <w:pPr>
        <w:rPr>
          <w:rFonts w:ascii="Times New Roman" w:eastAsia="Times New Roman" w:hAnsi="Times New Roman" w:cs="Times New Roman"/>
          <w:lang w:val="en-US"/>
        </w:rPr>
      </w:pPr>
    </w:p>
    <w:p w14:paraId="061ECA1A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>Can you explain your results?</w:t>
      </w:r>
    </w:p>
    <w:p w14:paraId="663C0E53" w14:textId="77777777" w:rsidR="00B301EA" w:rsidRPr="00B301EA" w:rsidRDefault="00B301EA" w:rsidP="00B301EA">
      <w:pPr>
        <w:rPr>
          <w:rFonts w:ascii="Times New Roman" w:hAnsi="Times New Roman" w:cs="Times New Roman"/>
          <w:lang w:val="en-US"/>
        </w:rPr>
      </w:pPr>
      <w:r w:rsidRPr="00B301EA">
        <w:rPr>
          <w:rFonts w:ascii="Times New Roman" w:hAnsi="Times New Roman" w:cs="Times New Roman"/>
          <w:i/>
          <w:iCs/>
          <w:color w:val="000000"/>
          <w:lang w:val="en-US"/>
        </w:rPr>
        <w:t>The reason for this is because each trapezium is a similar shape to the one before. So, if we increase the scale factor by root 2 (due to the relative sizes of a right angled isosceles), the area factor will increase by 2. Because AF = SF</w:t>
      </w:r>
      <w:r w:rsidRPr="00B301EA">
        <w:rPr>
          <w:rFonts w:ascii="Times New Roman" w:hAnsi="Times New Roman" w:cs="Times New Roman"/>
          <w:i/>
          <w:iCs/>
          <w:color w:val="000000"/>
          <w:sz w:val="14"/>
          <w:szCs w:val="14"/>
          <w:vertAlign w:val="superscript"/>
          <w:lang w:val="en-US"/>
        </w:rPr>
        <w:t>2</w:t>
      </w:r>
      <w:r w:rsidRPr="00B301EA">
        <w:rPr>
          <w:rFonts w:ascii="Times New Roman" w:hAnsi="Times New Roman" w:cs="Times New Roman"/>
          <w:i/>
          <w:iCs/>
          <w:color w:val="000000"/>
          <w:lang w:val="en-US"/>
        </w:rPr>
        <w:t>.</w:t>
      </w:r>
    </w:p>
    <w:p w14:paraId="28FE7FEA" w14:textId="77777777" w:rsidR="00B301EA" w:rsidRPr="00B301EA" w:rsidRDefault="00B301EA" w:rsidP="00B301EA">
      <w:pPr>
        <w:rPr>
          <w:rFonts w:ascii="Times New Roman" w:eastAsia="Times New Roman" w:hAnsi="Times New Roman" w:cs="Times New Roman"/>
          <w:lang w:val="en-US"/>
        </w:rPr>
      </w:pPr>
    </w:p>
    <w:p w14:paraId="292E9AEA" w14:textId="467DEDDA" w:rsidR="002A7689" w:rsidRPr="003C0573" w:rsidRDefault="00B301EA" w:rsidP="003C0573">
      <w:proofErr w:type="spellStart"/>
      <w:r>
        <w:t>Adithya</w:t>
      </w:r>
      <w:proofErr w:type="spellEnd"/>
      <w:r>
        <w:t xml:space="preserve"> Venkat (14) , </w:t>
      </w:r>
      <w:proofErr w:type="spellStart"/>
      <w:r>
        <w:t>Hymers</w:t>
      </w:r>
      <w:proofErr w:type="spellEnd"/>
      <w:r>
        <w:t xml:space="preserve"> College</w:t>
      </w:r>
      <w:bookmarkStart w:id="0" w:name="_GoBack"/>
      <w:bookmarkEnd w:id="0"/>
    </w:p>
    <w:sectPr w:rsidR="002A7689" w:rsidRPr="003C0573" w:rsidSect="00A1132C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12346" w14:textId="77777777" w:rsidR="00254B82" w:rsidRDefault="00254B82" w:rsidP="00C563E7">
      <w:r>
        <w:separator/>
      </w:r>
    </w:p>
  </w:endnote>
  <w:endnote w:type="continuationSeparator" w:id="0">
    <w:p w14:paraId="73DA5EFF" w14:textId="77777777" w:rsidR="00254B82" w:rsidRDefault="00254B82" w:rsidP="00C5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7D932" w14:textId="77777777" w:rsidR="00254B82" w:rsidRDefault="00254B82" w:rsidP="00C563E7">
      <w:r>
        <w:separator/>
      </w:r>
    </w:p>
  </w:footnote>
  <w:footnote w:type="continuationSeparator" w:id="0">
    <w:p w14:paraId="4AE5B46A" w14:textId="77777777" w:rsidR="00254B82" w:rsidRDefault="00254B82" w:rsidP="00C563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92833" w14:textId="77777777" w:rsidR="00C563E7" w:rsidRPr="00C563E7" w:rsidRDefault="00C563E7">
    <w:pPr>
      <w:pStyle w:val="Header"/>
      <w:rPr>
        <w:b/>
      </w:rPr>
    </w:pPr>
    <w:r w:rsidRPr="00C563E7">
      <w:rPr>
        <w:b/>
      </w:rPr>
      <w:t xml:space="preserve">Adithya Venkat (14) </w:t>
    </w:r>
  </w:p>
  <w:p w14:paraId="2D37F1EA" w14:textId="77777777" w:rsidR="00C563E7" w:rsidRPr="00C563E7" w:rsidRDefault="00C563E7">
    <w:pPr>
      <w:pStyle w:val="Header"/>
      <w:rPr>
        <w:b/>
      </w:rPr>
    </w:pPr>
    <w:r w:rsidRPr="00C563E7">
      <w:rPr>
        <w:b/>
      </w:rPr>
      <w:t>Hymers College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73"/>
    <w:rsid w:val="00061DA9"/>
    <w:rsid w:val="00254B82"/>
    <w:rsid w:val="002A7689"/>
    <w:rsid w:val="002B2FB9"/>
    <w:rsid w:val="00330F58"/>
    <w:rsid w:val="003B72BF"/>
    <w:rsid w:val="003C0573"/>
    <w:rsid w:val="004579FB"/>
    <w:rsid w:val="00647A31"/>
    <w:rsid w:val="009E4FAE"/>
    <w:rsid w:val="00A1132C"/>
    <w:rsid w:val="00A47D46"/>
    <w:rsid w:val="00B301EA"/>
    <w:rsid w:val="00C563E7"/>
    <w:rsid w:val="00F5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BA7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573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30F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6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3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563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3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 Venkatasubramanian</dc:creator>
  <cp:keywords/>
  <dc:description/>
  <cp:lastModifiedBy>Srinivasan Venkatasubramanian</cp:lastModifiedBy>
  <cp:revision>2</cp:revision>
  <dcterms:created xsi:type="dcterms:W3CDTF">2017-04-04T18:47:00Z</dcterms:created>
  <dcterms:modified xsi:type="dcterms:W3CDTF">2017-04-04T18:47:00Z</dcterms:modified>
</cp:coreProperties>
</file>